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25159" w:rsidRDefault="005463D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1 до листа МОН </w:t>
      </w:r>
    </w:p>
    <w:p w14:paraId="00000002" w14:textId="77777777" w:rsidR="00125159" w:rsidRDefault="0012515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125159" w:rsidRDefault="005463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Регіональні пріоритети на 2025 рік </w:t>
      </w:r>
    </w:p>
    <w:p w14:paraId="00000004" w14:textId="77777777" w:rsidR="00125159" w:rsidRDefault="005463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врахування при підготовці проєктних заявок за напрямом </w:t>
      </w:r>
    </w:p>
    <w:p w14:paraId="00000005" w14:textId="77777777" w:rsidR="00125159" w:rsidRDefault="005463D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КА2: Співпраця між організаціями та установами, </w:t>
      </w:r>
    </w:p>
    <w:p w14:paraId="00000006" w14:textId="77777777" w:rsidR="00125159" w:rsidRDefault="005463D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тип проєкту: Розбудова потенціалу у сфері вищої освіти (Strand 1, Strand 2)</w:t>
      </w:r>
    </w:p>
    <w:p w14:paraId="00000007" w14:textId="77777777" w:rsidR="00125159" w:rsidRDefault="0012515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Green Deal (Зелений курс). </w:t>
      </w:r>
      <w:r>
        <w:rPr>
          <w:rFonts w:ascii="Times New Roman" w:eastAsia="Times New Roman" w:hAnsi="Times New Roman" w:cs="Times New Roman"/>
          <w:sz w:val="28"/>
          <w:szCs w:val="28"/>
        </w:rPr>
        <w:t>Системи вищої освіти мають вирішальне значення для підтримки Зеленого курсу, потенційно сприяючи глибоким змінам поведінки та навичок людей. Проєкти доцільно спрямовувати на розвиток компетентностей у різних питаннях сталого розв</w:t>
      </w:r>
      <w:r>
        <w:rPr>
          <w:rFonts w:ascii="Times New Roman" w:eastAsia="Times New Roman" w:hAnsi="Times New Roman" w:cs="Times New Roman"/>
          <w:sz w:val="28"/>
          <w:szCs w:val="28"/>
        </w:rPr>
        <w:t>итку секторів, стратегії та методології зелених галузевих навичок, а також розроблення орієнтованих на майбутнє навчальних програм, що краще відповідають потребам окремих людей. Також підтримується апробація інноваційних практик, щоб підготувати здобувачів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освіти та постачальників освітніх послуг стати справжніми агентами змін.</w:t>
      </w:r>
    </w:p>
    <w:p w14:paraId="00000009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Digital transformation (Цифрова трансформація).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Проєкти повинні підтримувати розвиток і засвоєння цифрових навичок, щоб зробити цифрову трансформацію якомога всеохопною та інклюзивно</w:t>
      </w:r>
      <w:r>
        <w:rPr>
          <w:rFonts w:ascii="Times New Roman" w:eastAsia="Times New Roman" w:hAnsi="Times New Roman" w:cs="Times New Roman"/>
          <w:sz w:val="28"/>
          <w:szCs w:val="28"/>
        </w:rPr>
        <w:t>ю, заохочувати розробку та впровадження стратегій цифровізації вищої освіти, супроводжувати цифровий перехід шляхом інтеграції цифровізації в системі вищої освіти та посилення програм, що охоплюють цифрові навички, сприяти підготовці вчителів та розвитку о</w:t>
      </w:r>
      <w:r>
        <w:rPr>
          <w:rFonts w:ascii="Times New Roman" w:eastAsia="Times New Roman" w:hAnsi="Times New Roman" w:cs="Times New Roman"/>
          <w:sz w:val="28"/>
          <w:szCs w:val="28"/>
        </w:rPr>
        <w:t>нлайн-освіти.</w:t>
      </w:r>
    </w:p>
    <w:p w14:paraId="0000000A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Integration of migrants (Інтеграція мігрантів). </w:t>
      </w:r>
      <w:r>
        <w:rPr>
          <w:rFonts w:ascii="Times New Roman" w:eastAsia="Times New Roman" w:hAnsi="Times New Roman" w:cs="Times New Roman"/>
          <w:sz w:val="28"/>
          <w:szCs w:val="28"/>
        </w:rPr>
        <w:t>Проєкти мають сприяти мобільності та, зокрема, підтримувати визнання ступенів і дипломів у різних регіонах, а також підтримувати внутрішньорегіональні зв’язки. Проєкти мають підтримувати інтегра</w:t>
      </w:r>
      <w:r>
        <w:rPr>
          <w:rFonts w:ascii="Times New Roman" w:eastAsia="Times New Roman" w:hAnsi="Times New Roman" w:cs="Times New Roman"/>
          <w:sz w:val="28"/>
          <w:szCs w:val="28"/>
        </w:rPr>
        <w:t>цію мігрантів та переміщених осіб через доступ до освіти.</w:t>
      </w:r>
    </w:p>
    <w:p w14:paraId="0000000B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Governance, peace, security and human development (Урядування, мир, безпека та людський розвиток). </w:t>
      </w:r>
      <w:r>
        <w:rPr>
          <w:rFonts w:ascii="Times New Roman" w:eastAsia="Times New Roman" w:hAnsi="Times New Roman" w:cs="Times New Roman"/>
          <w:sz w:val="28"/>
          <w:szCs w:val="28"/>
        </w:rPr>
        <w:t>Проєкти можуть допомогти закласти основи для зміцнення активної громадянської позиції та накопиченн</w:t>
      </w:r>
      <w:r>
        <w:rPr>
          <w:rFonts w:ascii="Times New Roman" w:eastAsia="Times New Roman" w:hAnsi="Times New Roman" w:cs="Times New Roman"/>
          <w:sz w:val="28"/>
          <w:szCs w:val="28"/>
        </w:rPr>
        <w:t>я спеціального досвіду в таких сферах, як демократія, права людини та багатосторонність, а також напрацювати довгострокові рішення для подолання проблем слабкого управління у вищій освіті.</w:t>
      </w:r>
    </w:p>
    <w:p w14:paraId="0000000C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Sustainable growth and jobs (Стале зростання та успішне працевлашту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вання). </w:t>
      </w:r>
      <w:r>
        <w:rPr>
          <w:rFonts w:ascii="Times New Roman" w:eastAsia="Times New Roman" w:hAnsi="Times New Roman" w:cs="Times New Roman"/>
          <w:sz w:val="28"/>
          <w:szCs w:val="28"/>
        </w:rPr>
        <w:t>Освіта необхідна для формування навичок для життя та роботи, таких як базові навички, «м’які» навички (наприклад, вирішення проблем, спілкування), а також STEAM-компетентностей, що сприяє працевлаштуванню та є передумовою сталого зростання.</w:t>
      </w:r>
      <w:r>
        <w:br w:type="page"/>
      </w:r>
    </w:p>
    <w:p w14:paraId="0000000D" w14:textId="77777777" w:rsidR="00125159" w:rsidRDefault="005463D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2 до листа МОН </w:t>
      </w:r>
    </w:p>
    <w:p w14:paraId="0000000E" w14:textId="77777777" w:rsidR="00125159" w:rsidRDefault="0012515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125159" w:rsidRDefault="005463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Національні пріоритети на 2025 рік </w:t>
      </w:r>
    </w:p>
    <w:p w14:paraId="00000010" w14:textId="77777777" w:rsidR="00125159" w:rsidRDefault="005463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підготовки проєктних заявок</w:t>
      </w:r>
    </w:p>
    <w:p w14:paraId="00000011" w14:textId="77777777" w:rsidR="00125159" w:rsidRDefault="005463D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напрямом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КА2: Співпраця між організаціями та установами, </w:t>
      </w:r>
    </w:p>
    <w:p w14:paraId="00000012" w14:textId="77777777" w:rsidR="00125159" w:rsidRDefault="005463D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тип проєкту: Розбудова потенціалу у сфері вищої освіти </w:t>
      </w:r>
    </w:p>
    <w:p w14:paraId="00000013" w14:textId="77777777" w:rsidR="00125159" w:rsidRDefault="005463D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(Strand 3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Структурні проєкти на підтримку реформ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00000014" w14:textId="77777777" w:rsidR="00125159" w:rsidRDefault="00125159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125159" w:rsidRDefault="005463D4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пріоритет 1. Європейська інтеграція України</w:t>
      </w:r>
    </w:p>
    <w:p w14:paraId="00000016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Запровадження в рамках підготовки фахівців за гуманітарними та соціально-економічними спеціальностями (зокрема, публічне управління та адміністрування, міжнародні відносини, право, міжнародне право, </w:t>
      </w:r>
      <w:r>
        <w:rPr>
          <w:rFonts w:ascii="Times New Roman" w:eastAsia="Times New Roman" w:hAnsi="Times New Roman" w:cs="Times New Roman"/>
          <w:sz w:val="28"/>
          <w:szCs w:val="28"/>
        </w:rPr>
        <w:t>політологія, історія, соціологія, психологія, філологія, філософія, тощо) та підвищення кваліфікації викладачів, окремих курсів, модулів, програм з метою поширення інформації про:</w:t>
      </w:r>
    </w:p>
    <w:p w14:paraId="00000017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особливості переговорного процесу про вступ України до Європейського Союзу, зміст переговорних розділів EU acquis, розширення ЄС, передумови відкриття переговорів за переговорними розділами, інституційна архітектура переговорів про вступ до ЄС, інститути Є</w:t>
      </w:r>
      <w:r>
        <w:rPr>
          <w:rFonts w:ascii="Times New Roman" w:eastAsia="Times New Roman" w:hAnsi="Times New Roman" w:cs="Times New Roman"/>
          <w:sz w:val="28"/>
          <w:szCs w:val="28"/>
        </w:rPr>
        <w:t>С, політики, способи прийняття рішень, інструменти моніторингу і звітності в інститутах ЄС;</w:t>
      </w:r>
    </w:p>
    <w:p w14:paraId="00000018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цінності європейської демократичної культури та міжкультурного діалогу, активного відповідального громадянства та верховенства права;</w:t>
      </w:r>
    </w:p>
    <w:p w14:paraId="00000019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включення європейського виміру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освітні програми з історії та з середньої освіти за спеціальністю історія, зокрема щодо інтерпретації історичних подій та наративів (історіографії), вивчення історії України та країн Європи через спільний контекст.</w:t>
      </w:r>
    </w:p>
    <w:p w14:paraId="0000001A" w14:textId="77777777" w:rsidR="00125159" w:rsidRDefault="00125159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B" w14:textId="77777777" w:rsidR="00125159" w:rsidRDefault="005463D4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Національний пріоритет 2. Підготовка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фахівців з перекладу в контексті реалізації зобов’язань України в рамках вступу до Європейського Союзу</w:t>
      </w:r>
    </w:p>
    <w:p w14:paraId="0000001C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підготовки фахівців з усних та письмових перекладів з метою забезпечення офіційних перекладів українською мовою актів права ЄС (acquis commun</w:t>
      </w:r>
      <w:r>
        <w:rPr>
          <w:rFonts w:ascii="Times New Roman" w:eastAsia="Times New Roman" w:hAnsi="Times New Roman" w:cs="Times New Roman"/>
          <w:sz w:val="28"/>
          <w:szCs w:val="28"/>
        </w:rPr>
        <w:t>autaire) та офіційними мовами ЄС актів законодавства України відповідно до стандартів ЄС;</w:t>
      </w:r>
    </w:p>
    <w:p w14:paraId="0000001D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розроблення та запровадження програм підготовки фахівців з перекладу  відповідно до вимог європейської компетентнісної рамки European Master's in Translation (EMT) дл</w:t>
      </w:r>
      <w:r>
        <w:rPr>
          <w:rFonts w:ascii="Times New Roman" w:eastAsia="Times New Roman" w:hAnsi="Times New Roman" w:cs="Times New Roman"/>
          <w:sz w:val="28"/>
          <w:szCs w:val="28"/>
        </w:rPr>
        <w:t>я забезпечення потреб України в процесі та після набуття членства в Європейському Союзі.</w:t>
      </w:r>
    </w:p>
    <w:p w14:paraId="0000001E" w14:textId="77777777" w:rsidR="00125159" w:rsidRDefault="00125159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125159" w:rsidRDefault="005463D4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Національний пріоритет 3. Вища освіта для повоєнного відновлення України </w:t>
      </w:r>
    </w:p>
    <w:p w14:paraId="00000020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розвиток вищої освіти для підготовки фахівців за напрямами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highlight w:val="white"/>
        </w:rPr>
        <w:t>протезування-ортезування, реабілі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highlight w:val="white"/>
        </w:rPr>
        <w:t>тації та психології, розмінування та екологічного відновлення;</w:t>
      </w:r>
    </w:p>
    <w:p w14:paraId="00000021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синергія та взаємодія вищої освіти з бізнесом, зокрема в будівельній, аграрній, біотехнологічній галузях;</w:t>
      </w:r>
    </w:p>
    <w:p w14:paraId="00000022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моделі залучення в Україну якісних трудових ресурсів за допомогою вищої освіти (у тому </w:t>
      </w:r>
      <w:r>
        <w:rPr>
          <w:rFonts w:ascii="Times New Roman" w:eastAsia="Times New Roman" w:hAnsi="Times New Roman" w:cs="Times New Roman"/>
          <w:sz w:val="28"/>
          <w:szCs w:val="28"/>
        </w:rPr>
        <w:t>числі через спільні PhD програми та програми аспірантури інноваційного формату (зокрема industrial doctorate), через стажування на підприємствах та організаціях тощо);</w:t>
      </w:r>
    </w:p>
    <w:p w14:paraId="00000023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посилення залучення закладів вищої освіти до процесів повоєнного відновлення регіонів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 відповідно до Цілей сталого розвитку (ЦСР) та зелених трансформацій, цифровізації.</w:t>
      </w:r>
    </w:p>
    <w:p w14:paraId="00000024" w14:textId="77777777" w:rsidR="00125159" w:rsidRDefault="00125159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125159" w:rsidRDefault="005463D4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пріоритет 4. Інклюзивний, інноваційний та взаємопов’язаний простір вищої освіти, який відповідає третій місії університету</w:t>
      </w:r>
    </w:p>
    <w:p w14:paraId="00000026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запровадження на всіх рівнях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вищої освіти систем і процесів, які забезпечують посилення соціального виміру вищої освіти в Європейському просторі вищої освіти (ЄПВО) відповідно до Римського комюніке 2020 року, а також зобов’язань Тиранського комюніке 2024 року;</w:t>
      </w:r>
    </w:p>
    <w:p w14:paraId="00000027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заклад вищої освіти як </w:t>
      </w:r>
      <w:r>
        <w:rPr>
          <w:rFonts w:ascii="Times New Roman" w:eastAsia="Times New Roman" w:hAnsi="Times New Roman" w:cs="Times New Roman"/>
          <w:sz w:val="28"/>
          <w:szCs w:val="28"/>
        </w:rPr>
        <w:t>драйвер відновлення регіону/локальної екосистеми та повернення учасників освітнього процесу в Україну після завершення воєнних (бойових) дій.</w:t>
      </w:r>
    </w:p>
    <w:p w14:paraId="00000028" w14:textId="77777777" w:rsidR="00125159" w:rsidRDefault="00125159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125159" w:rsidRDefault="005463D4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Національний пріоритет 5. Індивідуалізація здобуття вищої освіти </w:t>
      </w:r>
    </w:p>
    <w:p w14:paraId="0000002A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Індивідуалізація здобуття вищої освіти з урахув</w:t>
      </w:r>
      <w:r>
        <w:rPr>
          <w:rFonts w:ascii="Times New Roman" w:eastAsia="Times New Roman" w:hAnsi="Times New Roman" w:cs="Times New Roman"/>
          <w:sz w:val="28"/>
          <w:szCs w:val="28"/>
        </w:rPr>
        <w:t>анням вимог та практик EHEA:</w:t>
      </w:r>
    </w:p>
    <w:p w14:paraId="0000002B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нових моделей управління процесами (зокрема через цифрові інструменти) у закладах вищої освіти для практичного впровадження індивідуальних освітніх траєкторій, гнучких термінів навчання;</w:t>
      </w:r>
    </w:p>
    <w:p w14:paraId="0000002C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запровадження міждисциплінарних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освітніх програм на бакалаврському рівні, дуальної освіти на бакалаварському і магістерському рівнях;</w:t>
      </w:r>
    </w:p>
    <w:p w14:paraId="0000002D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посилення внутрішньої та зовнішньої мобільності здобувачів вищої освіти (фінансові, організаційні моделі), використання мобільності, зокрема здобувачів, як драйвера розвитку ЗВО, зарахування часткових та мікрокваліфікацій та  результатів навчання внаслідок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мобільності.</w:t>
      </w:r>
    </w:p>
    <w:p w14:paraId="0000002E" w14:textId="77777777" w:rsidR="00125159" w:rsidRDefault="005463D4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Національний пріоритет 6. Англійська як lingua franca вищої освіти </w:t>
      </w:r>
    </w:p>
    <w:p w14:paraId="0000002F" w14:textId="77777777" w:rsidR="00125159" w:rsidRDefault="005463D4">
      <w:pPr>
        <w:spacing w:after="120" w:line="240" w:lineRule="auto"/>
        <w:ind w:right="-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формування культури використання англійської мови у вищій освіті як мови спілкування, викладання, навчання, дослідження та під час інших видів діяльності у ЗВО;</w:t>
      </w:r>
    </w:p>
    <w:p w14:paraId="00000030" w14:textId="77777777" w:rsidR="00125159" w:rsidRDefault="005463D4">
      <w:pPr>
        <w:spacing w:after="120" w:line="240" w:lineRule="auto"/>
        <w:ind w:right="-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англомовні освітні програми, у тому числі відкриті для громадян України; тощо.</w:t>
      </w:r>
    </w:p>
    <w:p w14:paraId="00000031" w14:textId="77777777" w:rsidR="00125159" w:rsidRDefault="00125159">
      <w:pPr>
        <w:spacing w:after="120" w:line="240" w:lineRule="auto"/>
        <w:ind w:right="-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125159" w:rsidRDefault="005463D4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пріоритет 7. Реформа педагогічної освіти</w:t>
      </w:r>
    </w:p>
    <w:p w14:paraId="00000033" w14:textId="77777777" w:rsidR="00125159" w:rsidRDefault="005463D4">
      <w:pPr>
        <w:spacing w:line="240" w:lineRule="auto"/>
        <w:ind w:right="1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оновлення підходів до підготовки та професійного розвитку вчителів в умовах невизначеності, впровадження нових моделей під</w:t>
      </w:r>
      <w:r>
        <w:rPr>
          <w:rFonts w:ascii="Times New Roman" w:eastAsia="Times New Roman" w:hAnsi="Times New Roman" w:cs="Times New Roman"/>
          <w:sz w:val="28"/>
          <w:szCs w:val="28"/>
        </w:rPr>
        <w:t>готовки, перепідготовки і підвищення кваліфікації вчителів;</w:t>
      </w:r>
    </w:p>
    <w:p w14:paraId="00000034" w14:textId="77777777" w:rsidR="00125159" w:rsidRDefault="005463D4">
      <w:pPr>
        <w:spacing w:line="240" w:lineRule="auto"/>
        <w:ind w:right="1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розроблення підходів для збереження сталості кадрового потенціалу (teacher retainment) для навчання та викладання, посилення особистої стійкості вчителів;</w:t>
      </w:r>
    </w:p>
    <w:p w14:paraId="00000035" w14:textId="77777777" w:rsidR="00125159" w:rsidRDefault="005463D4">
      <w:pPr>
        <w:spacing w:line="240" w:lineRule="auto"/>
        <w:ind w:right="1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диверсифікація шляхів доступу до педагогі</w:t>
      </w:r>
      <w:r>
        <w:rPr>
          <w:rFonts w:ascii="Times New Roman" w:eastAsia="Times New Roman" w:hAnsi="Times New Roman" w:cs="Times New Roman"/>
          <w:sz w:val="28"/>
          <w:szCs w:val="28"/>
        </w:rPr>
        <w:t>чної професії, в тому числі розвиток лідерського потенціалу молоді.</w:t>
      </w:r>
    </w:p>
    <w:p w14:paraId="00000036" w14:textId="77777777" w:rsidR="00125159" w:rsidRDefault="00125159">
      <w:pPr>
        <w:spacing w:line="240" w:lineRule="auto"/>
        <w:ind w:right="-8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77777777" w:rsidR="00125159" w:rsidRDefault="00125159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8" w14:textId="77777777" w:rsidR="00125159" w:rsidRDefault="005463D4">
      <w:pPr>
        <w:spacing w:after="120" w:line="240" w:lineRule="auto"/>
        <w:ind w:right="-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пріоритет 8: Розвиток відкритої науки в закладах вищої освіти</w:t>
      </w:r>
    </w:p>
    <w:p w14:paraId="00000039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запровадження програм підготовки, підвищення кваліфікації, тренінгів, дистанційних курсів, які сприяють зростан</w:t>
      </w:r>
      <w:r>
        <w:rPr>
          <w:rFonts w:ascii="Times New Roman" w:eastAsia="Times New Roman" w:hAnsi="Times New Roman" w:cs="Times New Roman"/>
          <w:sz w:val="28"/>
          <w:szCs w:val="28"/>
        </w:rPr>
        <w:t>ню рівня компетентності науковців щодо принципів відкритої науки, зокрема з управління науковими даними;</w:t>
      </w:r>
    </w:p>
    <w:p w14:paraId="0000003A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запровадження посади data stewards у закладах вищої освіти, забезпечення методичного супроводження, фінансового забезпечення роботи фахівців (data stew</w:t>
      </w:r>
      <w:r>
        <w:rPr>
          <w:rFonts w:ascii="Times New Roman" w:eastAsia="Times New Roman" w:hAnsi="Times New Roman" w:cs="Times New Roman"/>
          <w:sz w:val="28"/>
          <w:szCs w:val="28"/>
        </w:rPr>
        <w:t>ards) для роботи з програмним забезпеченням, яке використовується для наповнення репозитарію науковими даними, та користувачами репозитарію;</w:t>
      </w:r>
    </w:p>
    <w:p w14:paraId="0000003B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навчання фахівців (data stewards) з питань впровадження принципів відкритої науки та принципів належного управління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науковими даними (принципи FAIR) з метою забезпечення наповнення і належного супроводу тематичних (галузевих) та інституційних репозитаріїв даних у закладах вищої освіти;</w:t>
      </w:r>
    </w:p>
    <w:p w14:paraId="0000003C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започаткування тематичного (галузевого) репозитарію наукових даних: створення, впров</w:t>
      </w:r>
      <w:r>
        <w:rPr>
          <w:rFonts w:ascii="Times New Roman" w:eastAsia="Times New Roman" w:hAnsi="Times New Roman" w:cs="Times New Roman"/>
          <w:sz w:val="28"/>
          <w:szCs w:val="28"/>
        </w:rPr>
        <w:t>адження та супроводження його програмного забезпечення, технічна підтримка міжгалузевого обміну науковими даними, які у ньому міститимуться;</w:t>
      </w:r>
    </w:p>
    <w:p w14:paraId="0000003D" w14:textId="77777777" w:rsidR="00125159" w:rsidRDefault="005463D4">
      <w:pPr>
        <w:spacing w:after="120" w:line="240" w:lineRule="auto"/>
        <w:ind w:right="-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поширення досвіду створення, наповнення і функціонування репозитарію наукових даних у закладах вищої освіти та обмі</w:t>
      </w:r>
      <w:r>
        <w:rPr>
          <w:rFonts w:ascii="Times New Roman" w:eastAsia="Times New Roman" w:hAnsi="Times New Roman" w:cs="Times New Roman"/>
          <w:sz w:val="28"/>
          <w:szCs w:val="28"/>
        </w:rPr>
        <w:t>н досвідом щодо підготовки фахівців data stewards.</w:t>
      </w:r>
      <w:r>
        <w:br w:type="page"/>
      </w:r>
    </w:p>
    <w:p w14:paraId="0000003E" w14:textId="77777777" w:rsidR="00125159" w:rsidRDefault="005463D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3 до листа МОН</w:t>
      </w:r>
    </w:p>
    <w:p w14:paraId="0000003F" w14:textId="77777777" w:rsidR="00125159" w:rsidRDefault="0012515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40" w14:textId="77777777" w:rsidR="00125159" w:rsidRDefault="005463D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Національні пріоритети на 2025 рік </w:t>
      </w:r>
    </w:p>
    <w:p w14:paraId="00000041" w14:textId="77777777" w:rsidR="00125159" w:rsidRDefault="005463D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підготовки проєктних заявок за напрямом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КА2: Співпраця між організаціями та установами, тип проєкту: Розбудова потенціалу у сфері професійної (професійно-технічної) та фахової передвищої освіти (далі – П(ПТ)О та ФПО відповідно)</w:t>
      </w:r>
    </w:p>
    <w:p w14:paraId="00000042" w14:textId="77777777" w:rsidR="00125159" w:rsidRDefault="0012515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43" w14:textId="77777777" w:rsidR="00125159" w:rsidRDefault="0012515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44" w14:textId="77777777" w:rsidR="00125159" w:rsidRDefault="005463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Національний пріоритет 1. Трансформація мережі закладів П(ПТ)О 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ФПО відповідно до запитів суспільства </w:t>
      </w:r>
    </w:p>
    <w:p w14:paraId="00000045" w14:textId="77777777" w:rsidR="00125159" w:rsidRDefault="005463D4">
      <w:p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підтримка формування оптимальної та ефективної мережі закладів П(ПТ)О та ФПО з урахуванням демографічних, соціально-економічних та безпекових викликів, запитів регіональних ринків праці, а також потреб молоді, економі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чно активного населення та вразливих груп; </w:t>
      </w:r>
    </w:p>
    <w:p w14:paraId="00000046" w14:textId="77777777" w:rsidR="00125159" w:rsidRDefault="005463D4">
      <w:p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сприяння наданню освітніх послуг щодо профільної середньої освіти професійного спрямування, початкової професійної освіти і навчання впродовж життя; </w:t>
      </w:r>
    </w:p>
    <w:p w14:paraId="00000047" w14:textId="77777777" w:rsidR="00125159" w:rsidRDefault="005463D4">
      <w:p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створення регіональних екосистем П(ПТ)О та ФПО для забезпеченн</w:t>
      </w:r>
      <w:r>
        <w:rPr>
          <w:rFonts w:ascii="Times New Roman" w:eastAsia="Times New Roman" w:hAnsi="Times New Roman" w:cs="Times New Roman"/>
          <w:sz w:val="28"/>
          <w:szCs w:val="28"/>
        </w:rPr>
        <w:t>я соціальної справедливості, конкурентоспроможності, відбудови та подальшого розвитку як територіальних громад, так і України в цілому.</w:t>
      </w:r>
    </w:p>
    <w:p w14:paraId="00000048" w14:textId="77777777" w:rsidR="00125159" w:rsidRDefault="00125159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Національний пріоритет 2. Підвищення гнучкості можливостей П(ПТ)О та ФПО </w:t>
      </w:r>
    </w:p>
    <w:p w14:paraId="0000004A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вивчення та апробація кращого європейського д</w:t>
      </w:r>
      <w:r>
        <w:rPr>
          <w:rFonts w:ascii="Times New Roman" w:eastAsia="Times New Roman" w:hAnsi="Times New Roman" w:cs="Times New Roman"/>
          <w:sz w:val="28"/>
          <w:szCs w:val="28"/>
        </w:rPr>
        <w:t>освіду з розроблення та впровадження професійних/державних освітніх стандартів та освітніх/навчальних програм для формування повних/часткових кваліфікацій, у тому числі для ветеранів/нок, ВПО, осіб з інвалідністю та інших вразливих груп населення;</w:t>
      </w:r>
    </w:p>
    <w:p w14:paraId="0000004B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розробле</w:t>
      </w:r>
      <w:r>
        <w:rPr>
          <w:rFonts w:ascii="Times New Roman" w:eastAsia="Times New Roman" w:hAnsi="Times New Roman" w:cs="Times New Roman"/>
          <w:sz w:val="28"/>
          <w:szCs w:val="28"/>
        </w:rPr>
        <w:t>ння нових практик та методик короткострокового навчання для молоді та дорослого населення з метою розвитку умінь та навичок здобувачів освіти, побудови їх успішної професійної кар’єри та реалізації підприємливості;</w:t>
      </w:r>
    </w:p>
    <w:p w14:paraId="0000004C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розроблення інструментів оцінювання резул</w:t>
      </w:r>
      <w:r>
        <w:rPr>
          <w:rFonts w:ascii="Times New Roman" w:eastAsia="Times New Roman" w:hAnsi="Times New Roman" w:cs="Times New Roman"/>
          <w:sz w:val="28"/>
          <w:szCs w:val="28"/>
        </w:rPr>
        <w:t>ьтатів навчання та професійних кваліфікацій, отриманих у системі формальної, неформальної та інформальної освіти, що створить рівні умови для трудової мобільності на місцевому, регіональному, національному та транснаціональному рівнях.</w:t>
      </w:r>
    </w:p>
    <w:p w14:paraId="0000004D" w14:textId="77777777" w:rsidR="00125159" w:rsidRDefault="00125159">
      <w:pPr>
        <w:pBdr>
          <w:bottom w:val="none" w:sz="0" w:space="3" w:color="000000"/>
        </w:pBd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E" w14:textId="77777777" w:rsidR="00125159" w:rsidRDefault="005463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Національний пріоритет 3. Актуалізація змісту та якості П(ПТ)О та ФПО </w:t>
      </w:r>
    </w:p>
    <w:p w14:paraId="0000004F" w14:textId="77777777" w:rsidR="00125159" w:rsidRDefault="005463D4">
      <w:p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професійний розвиток педагогів та надання можливостей створювати доступний, зрозумілий, привабливий, інклюзивний та ефективний навчальний контент для молоді та дорослого населення;</w:t>
      </w:r>
    </w:p>
    <w:p w14:paraId="00000050" w14:textId="77777777" w:rsidR="00125159" w:rsidRDefault="005463D4">
      <w:p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впровадження педагогами сучасних інтерактивних технологій і методик для очного, онлайн та змішаного навчання, розроблення та використання цифрових освітніх матеріалів, зокрема у форматі віртуальної реальності та з використанням штучного інтелекту;</w:t>
      </w:r>
    </w:p>
    <w:p w14:paraId="00000051" w14:textId="64BFE59E" w:rsidR="00125159" w:rsidRDefault="005463D4">
      <w:p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оновленн</w:t>
      </w:r>
      <w:r>
        <w:rPr>
          <w:rFonts w:ascii="Times New Roman" w:eastAsia="Times New Roman" w:hAnsi="Times New Roman" w:cs="Times New Roman"/>
          <w:sz w:val="28"/>
          <w:szCs w:val="28"/>
        </w:rPr>
        <w:t>я та осучаснення матеріально-технічної бази закладів П(ПТ)О</w:t>
      </w:r>
      <w:r w:rsidR="00624F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624F60">
        <w:rPr>
          <w:rFonts w:ascii="Times New Roman" w:eastAsia="Times New Roman" w:hAnsi="Times New Roman" w:cs="Times New Roman"/>
          <w:sz w:val="28"/>
          <w:szCs w:val="28"/>
        </w:rPr>
        <w:t>ФПО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запитів ринку праці та потреб у підготовці за перспективними професіями.</w:t>
      </w:r>
    </w:p>
    <w:p w14:paraId="00000052" w14:textId="77777777" w:rsidR="00125159" w:rsidRDefault="00125159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3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пріоритет 4. Сприяння інноваціям</w:t>
      </w:r>
    </w:p>
    <w:p w14:paraId="00000054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створення сучасного, доступного та інклюзивного освітнього сер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едовища, що сприятиме розробленню та впровадженню виробничих, технологічних та педагогічних інновацій; </w:t>
      </w:r>
      <w:bookmarkStart w:id="0" w:name="_GoBack"/>
      <w:bookmarkEnd w:id="0"/>
    </w:p>
    <w:p w14:paraId="00000055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обмін кращими практиками підготовки громадян до зелених і цифрових переходів для забезпечення сталого розвитку та економічної спроможності суспільства;</w:t>
      </w:r>
    </w:p>
    <w:p w14:paraId="00000056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підтримка розроблення та опису нових  та перспективних кваліфікацій;</w:t>
      </w:r>
    </w:p>
    <w:p w14:paraId="00000057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сприяння застосуванню STEAM-підходу до формування професійних знань та умінь;</w:t>
      </w:r>
    </w:p>
    <w:p w14:paraId="00000058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впровадження освітнього маркетингу та менеджменту для ефективного управління закладами П(ПТ)О та ФПО.</w:t>
      </w:r>
    </w:p>
    <w:p w14:paraId="00000059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0000005A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аціональний пріоритет 5. Підвищення привабливості П(ПТ)О та ФПО </w:t>
      </w:r>
    </w:p>
    <w:p w14:paraId="0000005B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формування престижу П(ПТ)О та ФПО як можливості швидкого виходу молоді на ринок праці та покращення добробуту родин, а також зміни або адаптації власної професійної траєкторії дорослим населе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нням до соціальних та економічних викликів сьогодення; </w:t>
      </w:r>
    </w:p>
    <w:p w14:paraId="0000005C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розроблення та впровадження кампаній з популяризації робітничих професій та організації заходів щодо профорієнтації; </w:t>
      </w:r>
    </w:p>
    <w:p w14:paraId="0000005D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промоція підприємництва та підприємливості серед молоді та дорослих; співпраці тер</w:t>
      </w:r>
      <w:r>
        <w:rPr>
          <w:rFonts w:ascii="Times New Roman" w:eastAsia="Times New Roman" w:hAnsi="Times New Roman" w:cs="Times New Roman"/>
          <w:sz w:val="28"/>
          <w:szCs w:val="28"/>
        </w:rPr>
        <w:t>иторіальних громад, регіонального бізнесу та закладів П(ПТ)О та ФПО;</w:t>
      </w:r>
    </w:p>
    <w:p w14:paraId="0000005E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подолання стереотипів щодо «типових» чоловічих чи жіночих професій.</w:t>
      </w:r>
    </w:p>
    <w:p w14:paraId="0000005F" w14:textId="77777777" w:rsidR="00125159" w:rsidRDefault="00125159">
      <w:pPr>
        <w:pBdr>
          <w:bottom w:val="none" w:sz="0" w:space="3" w:color="000000"/>
        </w:pBd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0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Національний пріоритет 6. Інтернаціоналізація </w:t>
      </w:r>
    </w:p>
    <w:p w14:paraId="00000061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сприяння мобільності здобувачів, педагогічних працівників та керівників закладів П(ПТ)О та ФПО для ознайомлення із кращими виробничими, педагогічними та управлінськими практиками; </w:t>
      </w:r>
    </w:p>
    <w:p w14:paraId="00000062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залучення носіїв англійської мови як педагогів для реалізації освітніх прог</w:t>
      </w:r>
      <w:r>
        <w:rPr>
          <w:rFonts w:ascii="Times New Roman" w:eastAsia="Times New Roman" w:hAnsi="Times New Roman" w:cs="Times New Roman"/>
          <w:sz w:val="28"/>
          <w:szCs w:val="28"/>
        </w:rPr>
        <w:t>рам за конкретними професіями, розроблення та реалізація навчальних програм з вивчення англійської мови для молоді, педагогічних та адміністративних  працівників закладів П(ПТ)О та ФПО;</w:t>
      </w:r>
    </w:p>
    <w:p w14:paraId="00000063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сприяння співпраці закладів П(ПТ)О та ФПО України із провайдерами проф</w:t>
      </w:r>
      <w:r>
        <w:rPr>
          <w:rFonts w:ascii="Times New Roman" w:eastAsia="Times New Roman" w:hAnsi="Times New Roman" w:cs="Times New Roman"/>
          <w:sz w:val="28"/>
          <w:szCs w:val="28"/>
        </w:rPr>
        <w:t>есійної освіти та бізнесом з країн ЄС і міжнародних партнерів, причетних до процесів відбудови України;</w:t>
      </w:r>
    </w:p>
    <w:p w14:paraId="00000064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створення можливостей проходження практичної частини навчання для українських здобувачів П(ПТ)О та ФПО, які тимчасово проживають у країнах ЄС через повн</w:t>
      </w:r>
      <w:r>
        <w:rPr>
          <w:rFonts w:ascii="Times New Roman" w:eastAsia="Times New Roman" w:hAnsi="Times New Roman" w:cs="Times New Roman"/>
          <w:sz w:val="28"/>
          <w:szCs w:val="28"/>
        </w:rPr>
        <w:t>омасштабне вторгнення рф в Україну та дистанційно навчаються в українських закладах П(ПТ)О та ФПО;</w:t>
      </w:r>
    </w:p>
    <w:p w14:paraId="00000065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вивчення досвіду країн ЄС щодо моделей залучення до національного ринку праці та професійної (пере)підготовки мігрантів з інших країн.</w:t>
      </w:r>
    </w:p>
    <w:p w14:paraId="00000066" w14:textId="77777777" w:rsidR="00125159" w:rsidRDefault="00125159">
      <w:pPr>
        <w:pBdr>
          <w:bottom w:val="none" w:sz="0" w:space="3" w:color="000000"/>
        </w:pBd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7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пріорите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 7. Безпека і доступність</w:t>
      </w:r>
    </w:p>
    <w:p w14:paraId="00000068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підсилення здатності закладів П(ПТ)О та ФПО до організації безпечного та доступного освітнього процесу за допомогою інвестицій у цифровізацію освіти;</w:t>
      </w:r>
    </w:p>
    <w:p w14:paraId="00000069" w14:textId="77777777" w:rsidR="00125159" w:rsidRDefault="005463D4">
      <w:pPr>
        <w:pBdr>
          <w:bottom w:val="none" w:sz="0" w:space="3" w:color="000000"/>
        </w:pBdr>
        <w:shd w:val="clear" w:color="auto" w:fill="FFFFFF"/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підтримка соціалізації та професійної (пере)підготовки ветеранів/нок, ВПО, осіб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інвалідністю та інших вразливих груп населення;</w:t>
      </w:r>
    </w:p>
    <w:p w14:paraId="0000006A" w14:textId="77777777" w:rsidR="00125159" w:rsidRDefault="005463D4">
      <w:p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короткострокового навчання для широкого кола здобувачів освіти щодо безпечної життєдіяльності в умовах сучасної України.</w:t>
      </w:r>
    </w:p>
    <w:p w14:paraId="0000006B" w14:textId="77777777" w:rsidR="00125159" w:rsidRDefault="001251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25159">
      <w:headerReference w:type="default" r:id="rId7"/>
      <w:headerReference w:type="first" r:id="rId8"/>
      <w:footerReference w:type="first" r:id="rId9"/>
      <w:pgSz w:w="11909" w:h="16834"/>
      <w:pgMar w:top="1133" w:right="566" w:bottom="1700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ECA27" w14:textId="77777777" w:rsidR="005463D4" w:rsidRDefault="005463D4">
      <w:pPr>
        <w:spacing w:line="240" w:lineRule="auto"/>
      </w:pPr>
      <w:r>
        <w:separator/>
      </w:r>
    </w:p>
  </w:endnote>
  <w:endnote w:type="continuationSeparator" w:id="0">
    <w:p w14:paraId="71911EEC" w14:textId="77777777" w:rsidR="005463D4" w:rsidRDefault="00546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E" w14:textId="77777777" w:rsidR="00125159" w:rsidRDefault="001251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DFFD4" w14:textId="77777777" w:rsidR="005463D4" w:rsidRDefault="005463D4">
      <w:pPr>
        <w:spacing w:line="240" w:lineRule="auto"/>
      </w:pPr>
      <w:r>
        <w:separator/>
      </w:r>
    </w:p>
  </w:footnote>
  <w:footnote w:type="continuationSeparator" w:id="0">
    <w:p w14:paraId="285274FF" w14:textId="77777777" w:rsidR="005463D4" w:rsidRDefault="005463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C" w14:textId="4F3D17B9" w:rsidR="00125159" w:rsidRDefault="005463D4">
    <w:pPr>
      <w:jc w:val="center"/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 w:rsidR="00624F60"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624F60">
      <w:rPr>
        <w:rFonts w:ascii="Times New Roman" w:eastAsia="Times New Roman" w:hAnsi="Times New Roman" w:cs="Times New Roman"/>
        <w:noProof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D" w14:textId="77777777" w:rsidR="00125159" w:rsidRDefault="001251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59"/>
    <w:rsid w:val="00125159"/>
    <w:rsid w:val="005463D4"/>
    <w:rsid w:val="0062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7E47"/>
  <w15:docId w15:val="{BA59B47F-5612-4081-90ED-B5D7F81A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ck4CNyvbUNTLTi2PWhEzB0Hbw==">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8807</Words>
  <Characters>5020</Characters>
  <Application>Microsoft Office Word</Application>
  <DocSecurity>0</DocSecurity>
  <Lines>41</Lines>
  <Paragraphs>27</Paragraphs>
  <ScaleCrop>false</ScaleCrop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Шкабко Сергій Іванович</cp:lastModifiedBy>
  <cp:revision>2</cp:revision>
  <dcterms:created xsi:type="dcterms:W3CDTF">2024-12-12T16:32:00Z</dcterms:created>
  <dcterms:modified xsi:type="dcterms:W3CDTF">2024-12-12T16:33:00Z</dcterms:modified>
</cp:coreProperties>
</file>